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CD" w:rsidRDefault="00CF71CD" w:rsidP="00CF71C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Częstochowa, dnia 23.10.2014 r.</w:t>
      </w:r>
    </w:p>
    <w:p w:rsidR="00CF71CD" w:rsidRPr="00F54DBD" w:rsidRDefault="00CF71CD" w:rsidP="00CF71CD">
      <w:pPr>
        <w:pStyle w:val="Default"/>
        <w:jc w:val="right"/>
        <w:rPr>
          <w:sz w:val="20"/>
          <w:szCs w:val="20"/>
        </w:rPr>
      </w:pPr>
    </w:p>
    <w:p w:rsidR="00CF71CD" w:rsidRDefault="00CF71CD" w:rsidP="00CF71CD">
      <w:pPr>
        <w:pStyle w:val="Default"/>
        <w:rPr>
          <w:sz w:val="20"/>
          <w:szCs w:val="20"/>
        </w:rPr>
      </w:pPr>
      <w:r w:rsidRPr="00F54DBD">
        <w:rPr>
          <w:sz w:val="20"/>
          <w:szCs w:val="20"/>
        </w:rPr>
        <w:t>KZ-371/</w:t>
      </w:r>
      <w:r>
        <w:rPr>
          <w:sz w:val="20"/>
          <w:szCs w:val="20"/>
        </w:rPr>
        <w:t>123</w:t>
      </w:r>
      <w:r w:rsidRPr="00F54DBD">
        <w:rPr>
          <w:sz w:val="20"/>
          <w:szCs w:val="20"/>
        </w:rPr>
        <w:t>/14</w:t>
      </w:r>
    </w:p>
    <w:p w:rsidR="00CF71CD" w:rsidRDefault="00CF71CD" w:rsidP="00CF71CD">
      <w:pPr>
        <w:pStyle w:val="Default"/>
        <w:rPr>
          <w:sz w:val="20"/>
          <w:szCs w:val="20"/>
        </w:rPr>
      </w:pPr>
    </w:p>
    <w:p w:rsidR="00CF71CD" w:rsidRPr="00F54DBD" w:rsidRDefault="00CF71CD" w:rsidP="00CF71CD">
      <w:pPr>
        <w:pStyle w:val="Default"/>
        <w:rPr>
          <w:sz w:val="20"/>
          <w:szCs w:val="20"/>
        </w:rPr>
      </w:pPr>
    </w:p>
    <w:p w:rsidR="00CF71CD" w:rsidRPr="00CF71CD" w:rsidRDefault="00CF71CD" w:rsidP="00CF71CD">
      <w:pPr>
        <w:jc w:val="center"/>
        <w:rPr>
          <w:b/>
          <w:sz w:val="22"/>
          <w:szCs w:val="22"/>
          <w:u w:val="single"/>
        </w:rPr>
      </w:pPr>
      <w:r w:rsidRPr="00CF71CD">
        <w:rPr>
          <w:b/>
          <w:sz w:val="22"/>
          <w:szCs w:val="22"/>
          <w:u w:val="single"/>
        </w:rPr>
        <w:t xml:space="preserve">ODPOWIEDZI NA ZAPYTANIA </w:t>
      </w:r>
    </w:p>
    <w:p w:rsidR="00CF71CD" w:rsidRPr="00F54DBD" w:rsidRDefault="00CF71CD" w:rsidP="00CF71CD">
      <w:pPr>
        <w:jc w:val="center"/>
        <w:rPr>
          <w:b/>
          <w:sz w:val="22"/>
          <w:szCs w:val="22"/>
        </w:rPr>
      </w:pPr>
      <w:r w:rsidRPr="00F54DBD">
        <w:rPr>
          <w:b/>
          <w:sz w:val="22"/>
          <w:szCs w:val="22"/>
        </w:rPr>
        <w:t>DO SPECYFIKACJI ISTOTNYCH WARUNKÓW ZAMÓWIENIA</w:t>
      </w:r>
    </w:p>
    <w:p w:rsidR="00CF71CD" w:rsidRPr="00CF71CD" w:rsidRDefault="00CF71CD" w:rsidP="00CF71CD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CF71CD">
        <w:rPr>
          <w:rFonts w:ascii="Arial" w:hAnsi="Arial" w:cs="Arial"/>
          <w:b/>
          <w:sz w:val="22"/>
          <w:szCs w:val="22"/>
          <w:u w:val="single"/>
          <w:lang w:val="pl-PL"/>
        </w:rPr>
        <w:t xml:space="preserve">NA ŚWIADCZENIE USŁUG TELEKOMUNIKACYJNYCH W SIECI TELEFONII STACJONARNEJ DLA AKADEMII IM. JANA DŁUGOSZA W CZĘSTOCHOWIE </w:t>
      </w:r>
    </w:p>
    <w:p w:rsidR="00CF71CD" w:rsidRDefault="00CF71CD" w:rsidP="00CF71CD">
      <w:pPr>
        <w:ind w:left="-540" w:firstLine="540"/>
        <w:jc w:val="both"/>
      </w:pPr>
    </w:p>
    <w:p w:rsidR="00CF71CD" w:rsidRPr="00F54DBD" w:rsidRDefault="00CF71CD" w:rsidP="00CF71CD">
      <w:pPr>
        <w:ind w:left="-540" w:firstLine="540"/>
        <w:jc w:val="both"/>
      </w:pPr>
      <w:r w:rsidRPr="00F54DBD">
        <w:t>Zamawiający - Akademia im. Jana Długosza w Częstochowie działając zgodnie z art. 38 ust. 1 i 2 udziela odpowiedzi na złożone przez Wykonawców zapytania do specyfikacji istotnych warunków zamówienia, o następującej treści:</w:t>
      </w:r>
    </w:p>
    <w:p w:rsidR="00CF71CD" w:rsidRPr="00F54DBD" w:rsidRDefault="00CF71CD" w:rsidP="00CF71CD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1: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SIWZ rozdział 2 pkt. 8 c) i g)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Wykonawca informuje, że wymóg dotyczący zapewnienia sekundowego naliczania oraz brak opłat za inicjację połączeń dotyczyć może jedynie połączeń lokalnych, strefowych, międzynarodowych i komórkowych. Wykonawca zwraca uwagę, że np. połączenia na infolinię czy do biura numerów to bardzo duży zbiór połączeń, o różnych opłatach, z opłatami inicjacyjnym i bez tych opłat, oraz rozliczanych sekundowo, jak i bez znaczenia na czas ich trwania. W związku z tym prosimy o doprecyzowanie tego zapisu, zgodnie z wnioskiem Wykonawcy.</w:t>
      </w:r>
    </w:p>
    <w:p w:rsidR="0000464F" w:rsidRDefault="0000464F" w:rsidP="0000464F">
      <w:pPr>
        <w:jc w:val="both"/>
        <w:rPr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r>
        <w:t>Sekundowe naliczanie czasu realizowanych rozmów telefonicznych, bez opłaty za rozpoczęcie połączenia dotyczy połączeń lokalnych, strefowych, międzynarodowych i  komórkowych.</w:t>
      </w:r>
    </w:p>
    <w:p w:rsidR="0000464F" w:rsidRDefault="0000464F" w:rsidP="0000464F">
      <w:pPr>
        <w:rPr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Pytanie 2: 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SIWZ rozdział 2 pkt. 8 q) i umowa § 2 ust. 10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Wykonawca informuje, że wymóg ten możliwy jest do spełnienia jedynie dla linii analogowych PSTN. W przypadku linii cyfrowych (ISDN PRA i BRA) możliwy jest do spełnienia ten wymóg natomiast jedynie w przypadku gdy centrala telefoniczna posiadana przez Zamawiającego, zawiera takie możliwości techniczne konfiguracji, które na to pozwolą. Wnosimy o doprecyzowanie.</w:t>
      </w:r>
    </w:p>
    <w:p w:rsidR="0000464F" w:rsidRDefault="0000464F" w:rsidP="0000464F">
      <w:pPr>
        <w:jc w:val="both"/>
        <w:rPr>
          <w:lang w:eastAsia="en-US"/>
        </w:rPr>
      </w:pPr>
    </w:p>
    <w:p w:rsid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2C7B8A" w:rsidRPr="0062068C" w:rsidRDefault="002C7B8A" w:rsidP="002C7B8A">
      <w:r>
        <w:t>Wykonywanie bilingów w wersji elektronicznej w przypadku linii cyfrowych uwarunkowane będzie możliwościami technicznymi centrali telefonicznych .</w:t>
      </w:r>
    </w:p>
    <w:p w:rsidR="002C7B8A" w:rsidRPr="0000464F" w:rsidRDefault="002C7B8A" w:rsidP="0000464F">
      <w:pPr>
        <w:jc w:val="both"/>
        <w:rPr>
          <w:b/>
          <w:lang w:eastAsia="en-US"/>
        </w:rPr>
      </w:pPr>
    </w:p>
    <w:p w:rsidR="0000464F" w:rsidRDefault="0000464F" w:rsidP="0000464F"/>
    <w:p w:rsidR="0000464F" w:rsidRDefault="0000464F" w:rsidP="0000464F">
      <w:pPr>
        <w:jc w:val="both"/>
        <w:rPr>
          <w:lang w:eastAsia="en-US"/>
        </w:rPr>
      </w:pPr>
      <w:r w:rsidRPr="0000464F">
        <w:rPr>
          <w:b/>
          <w:lang w:eastAsia="en-US"/>
        </w:rPr>
        <w:t xml:space="preserve">Pytanie </w:t>
      </w:r>
      <w:r>
        <w:rPr>
          <w:b/>
          <w:lang w:eastAsia="en-US"/>
        </w:rPr>
        <w:t>3:</w:t>
      </w:r>
      <w:r w:rsidRPr="0065120B">
        <w:rPr>
          <w:lang w:eastAsia="en-US"/>
        </w:rPr>
        <w:t xml:space="preserve"> </w:t>
      </w:r>
    </w:p>
    <w:p w:rsidR="0000464F" w:rsidRPr="0000464F" w:rsidRDefault="0000464F" w:rsidP="0000464F">
      <w:pPr>
        <w:jc w:val="both"/>
        <w:rPr>
          <w:b/>
          <w:lang w:eastAsia="en-US"/>
        </w:rPr>
      </w:pPr>
      <w:r>
        <w:rPr>
          <w:lang w:eastAsia="en-US"/>
        </w:rPr>
        <w:t>Umowa § 2 ust. 11 i § 4 ust. 4</w:t>
      </w:r>
    </w:p>
    <w:p w:rsidR="0000464F" w:rsidRDefault="0000464F" w:rsidP="0000464F">
      <w:pPr>
        <w:jc w:val="both"/>
      </w:pPr>
      <w:r w:rsidRPr="00AD0CD0">
        <w:rPr>
          <w:lang w:eastAsia="en-US"/>
        </w:rPr>
        <w:t xml:space="preserve">Wykonawca informuje, że </w:t>
      </w:r>
      <w:r>
        <w:rPr>
          <w:lang w:eastAsia="en-US"/>
        </w:rPr>
        <w:t xml:space="preserve">zestawienie </w:t>
      </w:r>
      <w:r>
        <w:t>b</w:t>
      </w:r>
      <w:r w:rsidRPr="00AD0CD0">
        <w:t>iling</w:t>
      </w:r>
      <w:r>
        <w:t>owe dołączane jest</w:t>
      </w:r>
      <w:r w:rsidRPr="00AD0CD0">
        <w:t xml:space="preserve"> razem z fakturą. W przypadku gdy faktury maja </w:t>
      </w:r>
      <w:r>
        <w:t xml:space="preserve">być przedstawiane według </w:t>
      </w:r>
      <w:r w:rsidRPr="00AD0CD0">
        <w:t xml:space="preserve">§ 4 </w:t>
      </w:r>
      <w:r>
        <w:t xml:space="preserve">pkt. 4 </w:t>
      </w:r>
      <w:r w:rsidRPr="00AD0CD0">
        <w:t>do poszczególnych lokalizacji</w:t>
      </w:r>
      <w:r>
        <w:t>, zestawienie</w:t>
      </w:r>
      <w:r w:rsidRPr="00AD0CD0">
        <w:t xml:space="preserve"> biling</w:t>
      </w:r>
      <w:r>
        <w:t>ów będzie dołączone</w:t>
      </w:r>
      <w:r w:rsidRPr="00AD0CD0">
        <w:t xml:space="preserve"> do poszczególnych numerów przy</w:t>
      </w:r>
      <w:r>
        <w:t xml:space="preserve">pisanych do danej lokalizacji, dla </w:t>
      </w:r>
      <w:r w:rsidRPr="00AD0CD0">
        <w:t xml:space="preserve">konta bilingowego, </w:t>
      </w:r>
      <w:r>
        <w:t xml:space="preserve">ale </w:t>
      </w:r>
      <w:r w:rsidRPr="00AD0CD0">
        <w:t>nie będzie całościowy dla całej Instytucji</w:t>
      </w:r>
      <w:r>
        <w:t>. Wnosimy o modyfikację.</w:t>
      </w:r>
    </w:p>
    <w:p w:rsidR="0000464F" w:rsidRDefault="0000464F" w:rsidP="0000464F">
      <w:pPr>
        <w:jc w:val="both"/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</w:pPr>
    </w:p>
    <w:p w:rsidR="002C7B8A" w:rsidRDefault="002C7B8A" w:rsidP="002C7B8A">
      <w:pPr>
        <w:jc w:val="both"/>
      </w:pPr>
      <w:r>
        <w:t>Nie ma potrzeby posiadania jednego bilingu dla całej instytucji, wymagane są bilingi na poszczególne obiekty.</w:t>
      </w:r>
    </w:p>
    <w:p w:rsidR="002C7B8A" w:rsidRDefault="002C7B8A" w:rsidP="0000464F">
      <w:pPr>
        <w:jc w:val="both"/>
      </w:pP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Pytanie </w:t>
      </w:r>
      <w:r>
        <w:rPr>
          <w:b/>
          <w:lang w:eastAsia="en-US"/>
        </w:rPr>
        <w:t>4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</w:pPr>
      <w:r>
        <w:t xml:space="preserve">Umowa </w:t>
      </w:r>
      <w:r>
        <w:rPr>
          <w:lang w:eastAsia="en-US"/>
        </w:rPr>
        <w:t xml:space="preserve">§ 4 ust. 8 </w:t>
      </w:r>
    </w:p>
    <w:p w:rsidR="0000464F" w:rsidRPr="00286B63" w:rsidRDefault="0000464F" w:rsidP="0000464F">
      <w:pPr>
        <w:jc w:val="both"/>
      </w:pPr>
      <w:r>
        <w:t>Zgodnie z § 4 ust. 8</w:t>
      </w:r>
      <w:r w:rsidRPr="00286B63">
        <w:t xml:space="preserve"> Umowy, za termin zapłaty wynagrodzenia należnego Wykonawcy uważa się dzień obciążenia rachunku Zamawiającego. Należy zwrócić uwagę, że postanowienie to w obecnym brzmieniu jest niezgodne z powszechną zasadą oraz linią orzecznictwa Sądu Najwyższego (por. uchwała SN z dn. 4 stycznia 1995 r., sygnatura III CZP 164/94), w myśl których za dzień spełnienia świadczenia pieniężnego w postaci bezgotówkowej uważa się dzień uznania rachunku bankowego </w:t>
      </w:r>
      <w:r w:rsidRPr="00286B63">
        <w:lastRenderedPageBreak/>
        <w:t>wierzyciela (tu Wykonawcy), a nie dzień obciążenia rachunku bankowego dłużnika (tu Zamawiającego).W związku z powyższym Wykonawca zwraca się do Zamawiającego o zmianę przedmiotowego postanowienia w taki sposób, aby za termin płatności wynagrodzenia dla Wykonawcy uznać dzień uznania rachunku bankowego Wykonawcy.</w:t>
      </w:r>
    </w:p>
    <w:p w:rsidR="0000464F" w:rsidRDefault="0000464F" w:rsidP="0000464F">
      <w:pPr>
        <w:jc w:val="both"/>
        <w:rPr>
          <w:b/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</w:pPr>
    </w:p>
    <w:p w:rsidR="00115073" w:rsidRPr="00115073" w:rsidRDefault="00115073" w:rsidP="00115073">
      <w:pPr>
        <w:jc w:val="both"/>
        <w:rPr>
          <w:bCs/>
        </w:rPr>
      </w:pPr>
      <w:r w:rsidRPr="00115073">
        <w:rPr>
          <w:bCs/>
        </w:rPr>
        <w:t xml:space="preserve">Zamawiający nie wyraża zgody na zmianę zapisów w </w:t>
      </w:r>
      <w:r w:rsidRPr="00115073">
        <w:t xml:space="preserve">§ 4 ust. 8 Umowy. Postanowienia umowy mogą stanowić, </w:t>
      </w:r>
      <w:r w:rsidRPr="00115073">
        <w:t>że terminem zapłaty jest dzień obciążenia dłużnika, co również znajduje odzwierciedlenie w powołanej w pytaniu uchwale Sądu Najwyższego.</w:t>
      </w:r>
    </w:p>
    <w:p w:rsidR="00115073" w:rsidRPr="00AD0CD0" w:rsidRDefault="00115073" w:rsidP="0000464F">
      <w:pPr>
        <w:jc w:val="both"/>
      </w:pP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Pytanie </w:t>
      </w:r>
      <w:r>
        <w:rPr>
          <w:b/>
          <w:lang w:eastAsia="en-US"/>
        </w:rPr>
        <w:t>5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 xml:space="preserve"> SIWZ rozdział 2 pkt. 14 oraz Umowa § 2 ust. 12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Wykonawca zwraca się do Zamawiającego o wyjaśnienie do którego dokładnie dnia Zamawiający posiadana podpisaną umowę z obecnym Wykonawcą? Wykonawca zwraca uwagę, że jeżeli umowa ta wygasa w dniu 31.12.2014r. to przełączenie usług od obecnego Operatora przez Wykonawcę w tym właśnie może spowodować naliczanie kar Zamawiającemu przez obecnego operatora. Wnosimy o weryfikację i wyjaśnienie.</w:t>
      </w:r>
    </w:p>
    <w:p w:rsidR="0000464F" w:rsidRDefault="0000464F" w:rsidP="0000464F">
      <w:pPr>
        <w:jc w:val="both"/>
        <w:rPr>
          <w:b/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2C7B8A" w:rsidRDefault="002C7B8A" w:rsidP="002C7B8A">
      <w:pPr>
        <w:jc w:val="both"/>
      </w:pPr>
      <w:r>
        <w:t xml:space="preserve">Jeżeli Wykonawca dojdzie do porozumienia z dotychczasowym operatorem, przełączenie usług do nowego operatora może nastąpić 31.12.2014 r.. Nowy wykonawca koszty ewentualnych rozmów z tego dnia, po przełączeniu usług, uwzględni na fakturze za rozmowy z pierwszego miesiąca rozliczeniowego. Wykonawca za ten dzień nie naliczy abonamentu. Zamawiający nie będzie ponosił żadnych dodatkowych kosztów wynikających z przeprowadzenia przełączenia w tym dniu, takich jak na przykład roszczenia nowego operatora. </w:t>
      </w: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Pytanie </w:t>
      </w:r>
      <w:r>
        <w:rPr>
          <w:b/>
          <w:lang w:eastAsia="en-US"/>
        </w:rPr>
        <w:t>6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SIWZ rozdział 2 pkt. 8 b)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Wykonawca zwraca się do Zamawiającego o podanie wielkości ruchu (ewentualnie szacunkowego) pomiędzy numerami Zamawiającego z tzw. grupy biznesowej?</w:t>
      </w:r>
    </w:p>
    <w:p w:rsidR="0000464F" w:rsidRDefault="0000464F" w:rsidP="0000464F">
      <w:pPr>
        <w:jc w:val="both"/>
        <w:rPr>
          <w:b/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496D71" w:rsidRDefault="00496D71" w:rsidP="00496D71">
      <w:r>
        <w:t>Szacunkowa wielkość ruchu w tzw. grupie biznesowej to 800 mim./miesiąc</w:t>
      </w: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Pytanie </w:t>
      </w:r>
      <w:r>
        <w:rPr>
          <w:b/>
          <w:lang w:eastAsia="en-US"/>
        </w:rPr>
        <w:t>7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 xml:space="preserve">SIWZ rozdział 2 pkt. 8 m) i </w:t>
      </w:r>
      <w:r>
        <w:t xml:space="preserve">Umowa </w:t>
      </w:r>
      <w:r>
        <w:rPr>
          <w:lang w:eastAsia="en-US"/>
        </w:rPr>
        <w:t>§ 2 ust. 7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Wykonawca informuje, że usługa CLIR dostępna jest jedynie na łączach cyfrowych (ISDN PRA i BRA). Wnosimy o doprecyzowanie.</w:t>
      </w:r>
    </w:p>
    <w:p w:rsidR="0000464F" w:rsidRDefault="0000464F" w:rsidP="0000464F">
      <w:pPr>
        <w:jc w:val="both"/>
        <w:rPr>
          <w:b/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496D71" w:rsidRDefault="00496D71" w:rsidP="00496D71">
      <w:r>
        <w:t>Funkcja CLIR na łączach cyfrowych.</w:t>
      </w: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>
        <w:rPr>
          <w:b/>
          <w:lang w:eastAsia="en-US"/>
        </w:rPr>
        <w:t>Pytanie 8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 xml:space="preserve">SIWZ rozdział 2 pkt. 8 p) i </w:t>
      </w:r>
      <w:r>
        <w:t xml:space="preserve">Umowa </w:t>
      </w:r>
      <w:r>
        <w:rPr>
          <w:lang w:eastAsia="en-US"/>
        </w:rPr>
        <w:t>§ 2 ust. 9</w:t>
      </w:r>
    </w:p>
    <w:p w:rsidR="0000464F" w:rsidRPr="000313D4" w:rsidRDefault="0000464F" w:rsidP="0000464F">
      <w:pPr>
        <w:jc w:val="both"/>
        <w:rPr>
          <w:lang w:eastAsia="en-US"/>
        </w:rPr>
      </w:pPr>
      <w:r w:rsidRPr="000313D4">
        <w:rPr>
          <w:lang w:eastAsia="en-US"/>
        </w:rPr>
        <w:t>Wykonawca zwraca się do Zamawiającego, czy zgadza się na modyfikację tego zapisu na:</w:t>
      </w:r>
    </w:p>
    <w:p w:rsidR="0000464F" w:rsidRPr="000313D4" w:rsidRDefault="0000464F" w:rsidP="0000464F">
      <w:pPr>
        <w:jc w:val="both"/>
        <w:rPr>
          <w:i/>
          <w:lang w:eastAsia="en-US"/>
        </w:rPr>
      </w:pPr>
      <w:r w:rsidRPr="000313D4">
        <w:rPr>
          <w:i/>
        </w:rPr>
        <w:t>Czas usunięcia awarii przez Wykonawcę nastąpi w czasie 24 godziny od momentu zgłoszenia awarii pod warunkiem, że zgłoszenie nastąpi od poniedziałku do soboty w godzinach 8.00 – 18.00, z wyłączeniem dni ustawowo wolnych od pracy. Jeżeli zgłoszenie awarii nastąpi poza ww. czasem, bieg czasu usunięcia awarii rozpoczyna się od godz. 8.00 pierwszego dnia roboczego następującego po dniu zgłoszenia awarii.</w:t>
      </w:r>
    </w:p>
    <w:p w:rsidR="0000464F" w:rsidRDefault="0000464F" w:rsidP="0000464F">
      <w:pPr>
        <w:jc w:val="both"/>
        <w:rPr>
          <w:b/>
          <w:lang w:eastAsia="en-US"/>
        </w:rPr>
      </w:pPr>
    </w:p>
    <w:p w:rsidR="00CF71CD" w:rsidRDefault="00CF71CD" w:rsidP="0000464F">
      <w:pPr>
        <w:jc w:val="both"/>
        <w:rPr>
          <w:b/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496D71" w:rsidRDefault="00496D71" w:rsidP="00496D71">
      <w:pPr>
        <w:jc w:val="both"/>
        <w:rPr>
          <w:lang w:eastAsia="en-US"/>
        </w:rPr>
      </w:pPr>
      <w:r>
        <w:t xml:space="preserve">Zamawiający nie wyraża zgody na modyfikację </w:t>
      </w:r>
      <w:r>
        <w:rPr>
          <w:lang w:eastAsia="en-US"/>
        </w:rPr>
        <w:t xml:space="preserve">SIWZ rozdział 2 pkt. 8 p) i </w:t>
      </w:r>
      <w:r>
        <w:t xml:space="preserve">Umowa </w:t>
      </w:r>
      <w:r>
        <w:rPr>
          <w:lang w:eastAsia="en-US"/>
        </w:rPr>
        <w:t>§ 2 ust. 9</w:t>
      </w: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Pytanie </w:t>
      </w:r>
      <w:r>
        <w:rPr>
          <w:b/>
          <w:lang w:eastAsia="en-US"/>
        </w:rPr>
        <w:t>9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>Załącznik nr 2 tabela 2 lp. 4</w:t>
      </w:r>
    </w:p>
    <w:p w:rsidR="0000464F" w:rsidRDefault="0000464F" w:rsidP="0000464F">
      <w:pPr>
        <w:jc w:val="both"/>
        <w:rPr>
          <w:lang w:eastAsia="en-US"/>
        </w:rPr>
      </w:pPr>
      <w:r>
        <w:rPr>
          <w:lang w:eastAsia="en-US"/>
        </w:rPr>
        <w:t xml:space="preserve">Wykonawca zwraca się </w:t>
      </w:r>
      <w:r>
        <w:t xml:space="preserve">o </w:t>
      </w:r>
      <w:r>
        <w:rPr>
          <w:lang w:eastAsia="en-US"/>
        </w:rPr>
        <w:t xml:space="preserve">wyjaśnienie, jakiego rodzaju połączenia międzynarodowe Zamawiający ma tu na myśli? </w:t>
      </w:r>
      <w:r>
        <w:rPr>
          <w:bCs/>
          <w:iCs/>
        </w:rPr>
        <w:t>Wykonawca informuje, że połączenia międzynarodowe są taryfikowane m.in. ze względu na rodzaj połączenia, tj. do sieci komórkowych czy stacjonarnych. Wnosimy o wyjaśnienie i sprecyzowanie.</w:t>
      </w:r>
    </w:p>
    <w:p w:rsidR="0000464F" w:rsidRDefault="0000464F" w:rsidP="0000464F">
      <w:pPr>
        <w:jc w:val="both"/>
        <w:rPr>
          <w:b/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496D71" w:rsidRDefault="00496D71" w:rsidP="00496D71">
      <w:r>
        <w:t>Połączenia międzynarodowe wymienione w tabeli dotyczą zarówno połączeń stacjonarnych jak i mobilnych.</w:t>
      </w:r>
    </w:p>
    <w:p w:rsidR="00496D71" w:rsidRDefault="00496D71" w:rsidP="0000464F">
      <w:pPr>
        <w:jc w:val="both"/>
        <w:rPr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</w:t>
      </w:r>
      <w:r>
        <w:rPr>
          <w:b/>
          <w:lang w:eastAsia="en-US"/>
        </w:rPr>
        <w:t>0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t xml:space="preserve">Umowa </w:t>
      </w:r>
      <w:r>
        <w:rPr>
          <w:lang w:eastAsia="en-US"/>
        </w:rPr>
        <w:t>§ 7 ust. 1</w:t>
      </w:r>
    </w:p>
    <w:p w:rsidR="0000464F" w:rsidRDefault="0000464F" w:rsidP="0000464F">
      <w:pPr>
        <w:jc w:val="both"/>
        <w:rPr>
          <w:lang w:eastAsia="en-US"/>
        </w:rPr>
      </w:pPr>
      <w:r w:rsidRPr="000313D4">
        <w:rPr>
          <w:lang w:eastAsia="en-US"/>
        </w:rPr>
        <w:t>Wykonawca zwraca się do Zamawiającego, czy zgadza się na modyfikację tego zapisu na:</w:t>
      </w:r>
    </w:p>
    <w:p w:rsidR="0000464F" w:rsidRPr="000313D4" w:rsidRDefault="0000464F" w:rsidP="0000464F">
      <w:pPr>
        <w:jc w:val="both"/>
        <w:rPr>
          <w:i/>
          <w:lang w:eastAsia="en-US"/>
        </w:rPr>
      </w:pPr>
      <w:r w:rsidRPr="000313D4">
        <w:rPr>
          <w:i/>
        </w:rPr>
        <w:t>W przypadku przekroczenia gwarantowanego czasu usunięcia awarii usługi, niezależnie od długości tego przekroczenia oraz niezależnie od ilości awarii w danym okresie rozliczeniowym, Wykonawca udzieli bonifikaty w wysokości miesięcznego abonamentu za usługę podstawową.</w:t>
      </w:r>
    </w:p>
    <w:p w:rsidR="0000464F" w:rsidRDefault="0000464F" w:rsidP="0000464F">
      <w:pPr>
        <w:jc w:val="both"/>
        <w:rPr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496D71" w:rsidRDefault="00496D71" w:rsidP="0000464F">
      <w:pPr>
        <w:jc w:val="both"/>
        <w:rPr>
          <w:lang w:eastAsia="en-US"/>
        </w:rPr>
      </w:pPr>
      <w:r>
        <w:t>Zamawiający nie wyraża zgody na modyfikację</w:t>
      </w:r>
      <w:r>
        <w:t xml:space="preserve"> zapisu </w:t>
      </w:r>
      <w:r>
        <w:rPr>
          <w:lang w:eastAsia="en-US"/>
        </w:rPr>
        <w:t>§ 7 ust. 1</w:t>
      </w:r>
      <w:r>
        <w:rPr>
          <w:lang w:eastAsia="en-US"/>
        </w:rPr>
        <w:t xml:space="preserve"> umowy.</w:t>
      </w:r>
    </w:p>
    <w:p w:rsidR="0000464F" w:rsidRDefault="0000464F" w:rsidP="0000464F"/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</w:t>
      </w:r>
      <w:r>
        <w:rPr>
          <w:b/>
          <w:lang w:eastAsia="en-US"/>
        </w:rPr>
        <w:t>1</w:t>
      </w:r>
      <w:r w:rsidRPr="0000464F">
        <w:rPr>
          <w:b/>
          <w:lang w:eastAsia="en-US"/>
        </w:rPr>
        <w:t>:</w:t>
      </w:r>
    </w:p>
    <w:p w:rsidR="0000464F" w:rsidRDefault="0000464F" w:rsidP="0000464F">
      <w:pPr>
        <w:jc w:val="both"/>
        <w:rPr>
          <w:lang w:eastAsia="en-US"/>
        </w:rPr>
      </w:pPr>
      <w:r>
        <w:t xml:space="preserve">Umowa </w:t>
      </w:r>
      <w:r>
        <w:rPr>
          <w:lang w:eastAsia="en-US"/>
        </w:rPr>
        <w:t>§ 4 ust. 7</w:t>
      </w:r>
    </w:p>
    <w:p w:rsidR="0000464F" w:rsidRDefault="0000464F" w:rsidP="0000464F">
      <w:pPr>
        <w:jc w:val="both"/>
      </w:pPr>
      <w:r>
        <w:t>Wykonawca zwraca się do Zamawiającego o wytłumaczenie/interpretację tego zapisu</w:t>
      </w:r>
      <w:r w:rsidRPr="00F86FC8">
        <w:t>, gdyż użyte tam sfor</w:t>
      </w:r>
      <w:r>
        <w:t>mułowanie nie jest jasne. Co oznacza</w:t>
      </w:r>
      <w:r w:rsidRPr="00F86FC8">
        <w:t xml:space="preserve"> </w:t>
      </w:r>
      <w:r>
        <w:t>„</w:t>
      </w:r>
      <w:r w:rsidRPr="00F86FC8">
        <w:rPr>
          <w:i/>
          <w:iCs/>
        </w:rPr>
        <w:t>nie wykorzystania wynagrodzenia Wykonawcy</w:t>
      </w:r>
      <w:r>
        <w:rPr>
          <w:i/>
          <w:iCs/>
        </w:rPr>
        <w:t>”</w:t>
      </w:r>
      <w:r w:rsidRPr="00F86FC8">
        <w:t>?</w:t>
      </w:r>
    </w:p>
    <w:p w:rsidR="0000464F" w:rsidRDefault="0000464F" w:rsidP="0000464F">
      <w:pPr>
        <w:jc w:val="both"/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</w:pPr>
    </w:p>
    <w:p w:rsidR="0000464F" w:rsidRDefault="00496D71" w:rsidP="005E19B8">
      <w:pPr>
        <w:jc w:val="both"/>
      </w:pPr>
      <w:r>
        <w:t>W związku</w:t>
      </w:r>
      <w:r w:rsidR="005E19B8">
        <w:t xml:space="preserve"> z tym, ż</w:t>
      </w:r>
      <w:r>
        <w:t xml:space="preserve">e </w:t>
      </w:r>
      <w:r w:rsidR="005E19B8">
        <w:t xml:space="preserve">całkowita </w:t>
      </w:r>
      <w:r>
        <w:t xml:space="preserve">wartość umowy brutto wynika z </w:t>
      </w:r>
      <w:r w:rsidR="005E19B8">
        <w:t xml:space="preserve">szacunkowej wielkości połączeń  a rzeczywista ilość wykonanych połączeń, za które Zamawiający będzie dokonywał zapłaty Wykonawcy w trakcie realizacji umowy będzie wynikała z faktycznych potrzeb Zamawiającego, Zamawiający zastrzega sobie możliwość nie wykorzystania całości kwoty określonej w § 4 ust. 1 umowy. </w:t>
      </w:r>
    </w:p>
    <w:p w:rsidR="005E19B8" w:rsidRDefault="005E19B8" w:rsidP="0000464F">
      <w:pPr>
        <w:jc w:val="both"/>
        <w:rPr>
          <w:b/>
          <w:lang w:eastAsia="en-US"/>
        </w:rPr>
      </w:pPr>
    </w:p>
    <w:p w:rsid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</w:t>
      </w:r>
      <w:r>
        <w:rPr>
          <w:b/>
          <w:lang w:eastAsia="en-US"/>
        </w:rPr>
        <w:t>2</w:t>
      </w:r>
      <w:r w:rsidRPr="0000464F">
        <w:rPr>
          <w:b/>
          <w:lang w:eastAsia="en-US"/>
        </w:rPr>
        <w:t>:</w:t>
      </w:r>
    </w:p>
    <w:p w:rsidR="005E19B8" w:rsidRPr="0000464F" w:rsidRDefault="005E19B8" w:rsidP="0000464F">
      <w:pPr>
        <w:jc w:val="both"/>
        <w:rPr>
          <w:b/>
          <w:lang w:eastAsia="en-US"/>
        </w:rPr>
      </w:pPr>
    </w:p>
    <w:p w:rsidR="0000464F" w:rsidRPr="00F86FC8" w:rsidRDefault="0000464F" w:rsidP="0000464F">
      <w:pPr>
        <w:jc w:val="both"/>
        <w:rPr>
          <w:lang w:eastAsia="en-US"/>
        </w:rPr>
      </w:pPr>
      <w:r w:rsidRPr="00F86FC8">
        <w:t xml:space="preserve">Umowa </w:t>
      </w:r>
      <w:r w:rsidR="005E19B8">
        <w:rPr>
          <w:lang w:eastAsia="en-US"/>
        </w:rPr>
        <w:t xml:space="preserve">§ 6 ust. 1 </w:t>
      </w:r>
    </w:p>
    <w:p w:rsidR="0000464F" w:rsidRPr="00F86FC8" w:rsidRDefault="0000464F" w:rsidP="0000464F">
      <w:pPr>
        <w:jc w:val="both"/>
      </w:pPr>
      <w:r>
        <w:t>Wykonawca zwraca się do Zamawiającego o wyjaśnienie, co</w:t>
      </w:r>
      <w:r w:rsidRPr="00F86FC8">
        <w:t xml:space="preserve"> </w:t>
      </w:r>
      <w:r>
        <w:t xml:space="preserve">Zamawiający </w:t>
      </w:r>
      <w:r w:rsidRPr="00F86FC8">
        <w:t xml:space="preserve">rozumie pod pojęciem </w:t>
      </w:r>
      <w:r>
        <w:t>„</w:t>
      </w:r>
      <w:r w:rsidRPr="00F86FC8">
        <w:rPr>
          <w:i/>
          <w:iCs/>
        </w:rPr>
        <w:t>w sposób powtarzający się</w:t>
      </w:r>
      <w:r>
        <w:rPr>
          <w:i/>
          <w:iCs/>
        </w:rPr>
        <w:t>”</w:t>
      </w:r>
      <w:r>
        <w:t xml:space="preserve">? Czy np. dwukrotne (liczba </w:t>
      </w:r>
      <w:r w:rsidRPr="00F86FC8">
        <w:t>mn</w:t>
      </w:r>
      <w:r>
        <w:t>oga</w:t>
      </w:r>
      <w:r w:rsidRPr="00F86FC8">
        <w:t>) niewyk</w:t>
      </w:r>
      <w:r>
        <w:t>onanie obowiązków objętych umową</w:t>
      </w:r>
      <w:r w:rsidRPr="00F86FC8">
        <w:t xml:space="preserve"> upoważnia już Zamawiającego do natychmiastowego rozwiązania umowy? Czy dotyczy to jedynie sytuacji niewykonania zawinionego przez Wykonawcę? </w:t>
      </w:r>
    </w:p>
    <w:p w:rsidR="0000464F" w:rsidRDefault="0000464F" w:rsidP="0000464F">
      <w:pPr>
        <w:jc w:val="both"/>
        <w:rPr>
          <w:lang w:eastAsia="en-US"/>
        </w:rPr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00464F" w:rsidRDefault="0000464F" w:rsidP="0000464F">
      <w:pPr>
        <w:jc w:val="both"/>
        <w:rPr>
          <w:lang w:eastAsia="en-US"/>
        </w:rPr>
      </w:pPr>
    </w:p>
    <w:p w:rsidR="005E19B8" w:rsidRPr="009E401D" w:rsidRDefault="005E19B8" w:rsidP="0000464F">
      <w:pPr>
        <w:jc w:val="both"/>
        <w:rPr>
          <w:lang w:eastAsia="en-US"/>
        </w:rPr>
      </w:pPr>
      <w:r>
        <w:t>„</w:t>
      </w:r>
      <w:r w:rsidRPr="00F86FC8">
        <w:rPr>
          <w:i/>
          <w:iCs/>
        </w:rPr>
        <w:t>w sposób powtarzający się</w:t>
      </w:r>
      <w:r>
        <w:rPr>
          <w:i/>
          <w:iCs/>
        </w:rPr>
        <w:t>”</w:t>
      </w:r>
      <w:r>
        <w:rPr>
          <w:i/>
          <w:iCs/>
        </w:rPr>
        <w:t xml:space="preserve"> – </w:t>
      </w:r>
      <w:r w:rsidRPr="009E401D">
        <w:rPr>
          <w:iCs/>
        </w:rPr>
        <w:t>oznacza więcej  niż jeden raz.</w:t>
      </w:r>
      <w:r>
        <w:rPr>
          <w:i/>
          <w:iCs/>
        </w:rPr>
        <w:t xml:space="preserve"> </w:t>
      </w:r>
      <w:r w:rsidR="009E401D" w:rsidRPr="009E401D">
        <w:rPr>
          <w:iCs/>
        </w:rPr>
        <w:t>Zapis umowy dotyczący możliwości natychmiastowego rozwiązania umowy w przypadkach niewykonania, niewłaściwego wykonywania dotyczy sytuacji zawinionych przez Wykonawcę</w:t>
      </w:r>
      <w:r w:rsidR="009E401D">
        <w:rPr>
          <w:iCs/>
        </w:rPr>
        <w:t>.</w:t>
      </w:r>
    </w:p>
    <w:p w:rsidR="0000464F" w:rsidRDefault="0000464F" w:rsidP="0000464F"/>
    <w:p w:rsid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</w:t>
      </w:r>
      <w:r>
        <w:rPr>
          <w:b/>
          <w:lang w:eastAsia="en-US"/>
        </w:rPr>
        <w:t>3</w:t>
      </w:r>
      <w:r w:rsidRPr="0000464F">
        <w:rPr>
          <w:b/>
          <w:lang w:eastAsia="en-US"/>
        </w:rPr>
        <w:t>:</w:t>
      </w:r>
    </w:p>
    <w:p w:rsidR="0000464F" w:rsidRPr="0000464F" w:rsidRDefault="0000464F" w:rsidP="0000464F">
      <w:pPr>
        <w:jc w:val="both"/>
        <w:rPr>
          <w:b/>
          <w:lang w:eastAsia="en-US"/>
        </w:rPr>
      </w:pPr>
    </w:p>
    <w:p w:rsidR="0000464F" w:rsidRPr="00F86FC8" w:rsidRDefault="0000464F" w:rsidP="0000464F">
      <w:pPr>
        <w:jc w:val="both"/>
        <w:rPr>
          <w:lang w:eastAsia="en-US"/>
        </w:rPr>
      </w:pPr>
      <w:r w:rsidRPr="00F86FC8">
        <w:t xml:space="preserve">Umowa </w:t>
      </w:r>
      <w:r w:rsidRPr="00F86FC8">
        <w:rPr>
          <w:lang w:eastAsia="en-US"/>
        </w:rPr>
        <w:t>§ 7 ust. 1</w:t>
      </w:r>
    </w:p>
    <w:p w:rsidR="0000464F" w:rsidRDefault="0000464F" w:rsidP="0000464F">
      <w:pPr>
        <w:jc w:val="both"/>
      </w:pPr>
      <w:r>
        <w:t>Wykonawca zwraca się do Zamawiającego z pytaniem, c</w:t>
      </w:r>
      <w:r w:rsidRPr="00F86FC8">
        <w:t>zy istnieje możliwość obniżenia procentowe</w:t>
      </w:r>
      <w:r>
        <w:t>go przewidywanych kar umownych?</w:t>
      </w:r>
      <w:r w:rsidR="009E401D">
        <w:t xml:space="preserve"> </w:t>
      </w:r>
      <w:r>
        <w:t>Wnosimy również o wyjaśnienie</w:t>
      </w:r>
      <w:r w:rsidRPr="00F86FC8">
        <w:t xml:space="preserve"> jaki jest związek naliczania kary umownej w oparciu o całkowitą wartość umowy brutto w sytuacji skorzystania przez Zamawiającego z niejasnego interpretacyjnie przepi</w:t>
      </w:r>
      <w:r>
        <w:t>su § 4 ust. 7 w związku z ust. 1?</w:t>
      </w:r>
      <w:r w:rsidRPr="00F86FC8">
        <w:t xml:space="preserve"> (pytanie nr 1</w:t>
      </w:r>
      <w:r>
        <w:t>1</w:t>
      </w:r>
      <w:r w:rsidRPr="00F86FC8">
        <w:t>)       </w:t>
      </w:r>
    </w:p>
    <w:p w:rsidR="009E401D" w:rsidRDefault="009E401D" w:rsidP="0000464F">
      <w:pPr>
        <w:jc w:val="both"/>
      </w:pPr>
      <w:bookmarkStart w:id="0" w:name="_GoBack"/>
      <w:bookmarkEnd w:id="0"/>
    </w:p>
    <w:p w:rsidR="0000464F" w:rsidRDefault="0000464F" w:rsidP="0000464F">
      <w:pPr>
        <w:jc w:val="both"/>
      </w:pPr>
    </w:p>
    <w:p w:rsidR="0000464F" w:rsidRPr="0000464F" w:rsidRDefault="0000464F" w:rsidP="0000464F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lastRenderedPageBreak/>
        <w:t xml:space="preserve">Odpowiedź: </w:t>
      </w:r>
    </w:p>
    <w:p w:rsidR="0000464F" w:rsidRPr="00F86FC8" w:rsidRDefault="0000464F" w:rsidP="0000464F">
      <w:pPr>
        <w:jc w:val="both"/>
      </w:pPr>
    </w:p>
    <w:p w:rsidR="004F5DE6" w:rsidRDefault="004F5DE6" w:rsidP="004F5DE6">
      <w:pPr>
        <w:jc w:val="both"/>
        <w:rPr>
          <w:lang w:eastAsia="en-US"/>
        </w:rPr>
      </w:pPr>
      <w:r>
        <w:t xml:space="preserve">Zamawiający nie wyraża zgody na modyfikację zapisu </w:t>
      </w:r>
      <w:r>
        <w:rPr>
          <w:lang w:eastAsia="en-US"/>
        </w:rPr>
        <w:t>§ 7 ust. 1 umowy.</w:t>
      </w:r>
      <w:r>
        <w:rPr>
          <w:lang w:eastAsia="en-US"/>
        </w:rPr>
        <w:t xml:space="preserve"> Sposób określenia wysokości kary umownej przez Zamawiającego jest prawidłowy.</w:t>
      </w:r>
      <w:r w:rsidRPr="004F5DE6">
        <w:t xml:space="preserve"> </w:t>
      </w:r>
      <w:r>
        <w:t>Przedmiotem kary umownej może być wył</w:t>
      </w:r>
      <w:r>
        <w:t>ącznie określona suma pieniężna, przy czym w</w:t>
      </w:r>
      <w:r>
        <w:t>ysokość kary umownej wyrażana jest zwykle kwotowo (kwota stała lub odnoszona do poszczególnych naruszeń, np. dni zwłoki) lub procentowo (jako oznaczony procent wartości świadczenia).</w:t>
      </w:r>
      <w:r>
        <w:t xml:space="preserve"> </w:t>
      </w:r>
      <w:r>
        <w:t>§ 4 ust. 7</w:t>
      </w:r>
      <w:r>
        <w:t xml:space="preserve"> umowy określa wartość świadczenia.</w:t>
      </w:r>
    </w:p>
    <w:p w:rsidR="0000464F" w:rsidRDefault="0000464F" w:rsidP="0000464F">
      <w:pPr>
        <w:jc w:val="both"/>
        <w:rPr>
          <w:lang w:eastAsia="en-US"/>
        </w:rPr>
      </w:pPr>
    </w:p>
    <w:p w:rsidR="00115073" w:rsidRDefault="00115073" w:rsidP="00115073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</w:t>
      </w:r>
      <w:r>
        <w:rPr>
          <w:b/>
          <w:lang w:eastAsia="en-US"/>
        </w:rPr>
        <w:t>4</w:t>
      </w:r>
      <w:r w:rsidRPr="0000464F">
        <w:rPr>
          <w:b/>
          <w:lang w:eastAsia="en-US"/>
        </w:rPr>
        <w:t>:</w:t>
      </w:r>
    </w:p>
    <w:p w:rsidR="0000464F" w:rsidRDefault="0000464F"/>
    <w:p w:rsidR="00115073" w:rsidRDefault="00115073" w:rsidP="00115073">
      <w:pPr>
        <w:spacing w:after="200"/>
        <w:jc w:val="both"/>
      </w:pPr>
      <w:r>
        <w:t xml:space="preserve">Zamawiający w Rozdziale 2 SIWZ, w punkcie 8 </w:t>
      </w:r>
      <w:proofErr w:type="spellStart"/>
      <w:r>
        <w:t>ppkt</w:t>
      </w:r>
      <w:proofErr w:type="spellEnd"/>
      <w:r>
        <w:t xml:space="preserve"> i wymaga aby </w:t>
      </w:r>
      <w:r w:rsidRPr="00326A8B">
        <w:t xml:space="preserve">podłączenie linii </w:t>
      </w:r>
      <w:r>
        <w:t xml:space="preserve">obyło się </w:t>
      </w:r>
      <w:r w:rsidRPr="00326A8B">
        <w:t>bez powodowania przerw w pracy</w:t>
      </w:r>
      <w:r>
        <w:t>. Jednocześnie w punkcie 9 wskazuje „</w:t>
      </w:r>
      <w:r w:rsidRPr="00326A8B">
        <w:t>Przeniesienie numerów do nowego operatora może powodować przerwę w świadczeniu usług telekomunikacyjnych nie dłuższą niż 24 godziny liczoną od określonego w umowie dni</w:t>
      </w:r>
      <w:r>
        <w:t>a rozpoczęcia świadczenia usług”. W związku z powyższym wnosimy o ujednolicenie i modyfikację punktu 9.</w:t>
      </w:r>
    </w:p>
    <w:p w:rsidR="00115073" w:rsidRPr="0000464F" w:rsidRDefault="00115073" w:rsidP="00115073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115073" w:rsidRDefault="00115073">
      <w:r>
        <w:t xml:space="preserve">Rozdział 2 SIWZ, pkt </w:t>
      </w:r>
      <w:r>
        <w:t xml:space="preserve">8 </w:t>
      </w:r>
      <w:proofErr w:type="spellStart"/>
      <w:r>
        <w:t>ppkt</w:t>
      </w:r>
      <w:proofErr w:type="spellEnd"/>
      <w:r>
        <w:t xml:space="preserve"> i</w:t>
      </w:r>
      <w:r>
        <w:t>) otrzymuje brzmienie:</w:t>
      </w:r>
    </w:p>
    <w:p w:rsidR="00115073" w:rsidRDefault="00115073">
      <w:r>
        <w:t>Podłączenie linii, zgodnie z wymaganiami określonymi w rozdziale 2 pkt 9 SIWZ.</w:t>
      </w:r>
    </w:p>
    <w:p w:rsidR="00115073" w:rsidRDefault="00115073"/>
    <w:p w:rsidR="00115073" w:rsidRDefault="00115073"/>
    <w:p w:rsidR="00CF71CD" w:rsidRDefault="00CF71CD" w:rsidP="00CF71CD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>Pytanie 1</w:t>
      </w:r>
      <w:r>
        <w:rPr>
          <w:b/>
          <w:lang w:eastAsia="en-US"/>
        </w:rPr>
        <w:t>5</w:t>
      </w:r>
      <w:r w:rsidRPr="0000464F">
        <w:rPr>
          <w:b/>
          <w:lang w:eastAsia="en-US"/>
        </w:rPr>
        <w:t>:</w:t>
      </w:r>
    </w:p>
    <w:p w:rsidR="00CF71CD" w:rsidRDefault="00CF71CD"/>
    <w:p w:rsidR="00CF71CD" w:rsidRPr="00957AD2" w:rsidRDefault="00CF71CD" w:rsidP="00CF71CD">
      <w:pPr>
        <w:spacing w:after="200"/>
        <w:jc w:val="both"/>
      </w:pPr>
      <w:r w:rsidRPr="00E705ED">
        <w:t xml:space="preserve">W związku z ogłoszonym postępowaniem i wyznaczonym terminem składania ofert na 27.10.2014r.  </w:t>
      </w:r>
      <w:r w:rsidRPr="00E705ED">
        <w:rPr>
          <w:bCs/>
        </w:rPr>
        <w:t xml:space="preserve">wnioskujemy o wydłużenie terminu składania ofert do dnia 03.11.2014 2014 r. </w:t>
      </w:r>
      <w:r w:rsidRPr="00957AD2">
        <w:t>Obecny termin składania ofert, który upływa dnia 27.10.2014r. jest terminem krótkim biorąc pod uwagę specyfikę przedmiotu zamówienia.</w:t>
      </w:r>
      <w:r w:rsidRPr="00957AD2">
        <w:br/>
      </w:r>
      <w:r w:rsidRPr="00957AD2">
        <w:rPr>
          <w:lang w:eastAsia="de-DE"/>
        </w:rPr>
        <w:t xml:space="preserve">Przedmiot zamówienia, który Zamawiający zamierza uzyskać w wyniku prowadzonego postępowania jest specyficzny albowiem jest dedykowany dla Zamawiającego. Powyższe powoduje, iż wszyscy Wykonawcy – oprócz Wykonawcy obecnie świadczącego usługi dla Zamawiającego – muszą przeprowadzić czasochłonną procedurę sprawdzenia warunków technicznych umożliwiających świadczenie usług zgodnie z wymaganiami SIWZ. </w:t>
      </w:r>
      <w:r w:rsidRPr="00957AD2">
        <w:rPr>
          <w:lang w:eastAsia="de-DE"/>
        </w:rPr>
        <w:br/>
        <w:t xml:space="preserve">W celu sprawdzenia, czy Wykonawca będzie miał możliwość realizacji łącza dostępowego koniecznym jest dokonanie szeregu czasochłonnych czynności sprawdzających w tym wizji lokalnej, której możliwość przeprowadzenia uzależniona jest od wielu czynników zewnętrznych w tym m.in. warunków atmosferycznych. Co więcej, w przypadku dużej liczy lokalizacji i znacznego oddalenia ich od siebie, czas przeznaczony na przeprowadzenie wizji lokalnej może ulec znacznemu wydłużeniu (do kliku a nawet kilkunastu dni). Przeprowadzenie wizji lokalnej ma istotne znaczenie dla prawidłowego oszacowania oferty. </w:t>
      </w:r>
      <w:r w:rsidRPr="00957AD2">
        <w:rPr>
          <w:lang w:eastAsia="de-DE"/>
        </w:rPr>
        <w:br/>
        <w:t>Postępowanie o udzielenie zamówienia publicznego prowadzi się w celu uzyskania przedmiotu zamówienia w jak najszerszym zakresie odpowiadającego potrzebom Zamawiającego, a przy tym najkorzystniejszego pod względem cenowym. Wyznaczając krótki terminu składania ofert udziału w postępowaniu Zamawiający pozbawił się realnej konkurencji, a zatem możliwości uzyskania przedmiotu zamówienia za najbardziej korzystną cenę. Wielce prawdopodobnym jest bowiem, iż część Wykonawców zainteresowanych wzięciem udziału w postępowaniu, zrezygnuje z powodu braku możliwości opracowania oferty we wskazanym przez Zamawiającego terminie.</w:t>
      </w:r>
    </w:p>
    <w:p w:rsidR="00CF71CD" w:rsidRDefault="00CF71CD"/>
    <w:p w:rsidR="00CF71CD" w:rsidRPr="0000464F" w:rsidRDefault="00CF71CD" w:rsidP="00CF71CD">
      <w:pPr>
        <w:jc w:val="both"/>
        <w:rPr>
          <w:b/>
          <w:lang w:eastAsia="en-US"/>
        </w:rPr>
      </w:pPr>
      <w:r w:rsidRPr="0000464F">
        <w:rPr>
          <w:b/>
          <w:lang w:eastAsia="en-US"/>
        </w:rPr>
        <w:t xml:space="preserve">Odpowiedź: </w:t>
      </w:r>
    </w:p>
    <w:p w:rsidR="00115073" w:rsidRDefault="00115073">
      <w:r>
        <w:t xml:space="preserve">Zamawiający </w:t>
      </w:r>
      <w:r w:rsidR="00CF71CD">
        <w:t xml:space="preserve">przedłuża termin składania ofert do dnia </w:t>
      </w:r>
      <w:r w:rsidR="00CF71CD" w:rsidRPr="00CF71CD">
        <w:rPr>
          <w:b/>
        </w:rPr>
        <w:t>3</w:t>
      </w:r>
      <w:r w:rsidR="00CF71CD">
        <w:rPr>
          <w:b/>
        </w:rPr>
        <w:t>1</w:t>
      </w:r>
      <w:r w:rsidR="00CF71CD" w:rsidRPr="00CF71CD">
        <w:rPr>
          <w:b/>
        </w:rPr>
        <w:t>.10.2014 r. do godz. 09:00</w:t>
      </w:r>
    </w:p>
    <w:p w:rsidR="00CF71CD" w:rsidRDefault="00CF71CD">
      <w:r>
        <w:t>Otwarcie ofert nastąpi w tym samym dniu o godzinie 09:00.</w:t>
      </w:r>
    </w:p>
    <w:p w:rsidR="00CF71CD" w:rsidRDefault="00CF71CD"/>
    <w:p w:rsidR="00CF71CD" w:rsidRDefault="00CF71CD"/>
    <w:p w:rsidR="00CF71CD" w:rsidRDefault="00CF71CD"/>
    <w:sectPr w:rsidR="00CF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6FF0"/>
    <w:multiLevelType w:val="hybridMultilevel"/>
    <w:tmpl w:val="86201688"/>
    <w:lvl w:ilvl="0" w:tplc="6EA65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F"/>
    <w:rsid w:val="0000464F"/>
    <w:rsid w:val="00115073"/>
    <w:rsid w:val="002C7B8A"/>
    <w:rsid w:val="00496D71"/>
    <w:rsid w:val="004F5DE6"/>
    <w:rsid w:val="005E19B8"/>
    <w:rsid w:val="009E401D"/>
    <w:rsid w:val="00CA7E57"/>
    <w:rsid w:val="00C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4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 Znak Znak Znak Znak"/>
    <w:basedOn w:val="Normalny"/>
    <w:rsid w:val="0000464F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F71CD"/>
    <w:pPr>
      <w:widowControl w:val="0"/>
      <w:suppressAutoHyphens/>
      <w:spacing w:after="283"/>
    </w:pPr>
    <w:rPr>
      <w:rFonts w:ascii="Times New Roman" w:hAnsi="Times New Roman" w:cs="Times New Roman"/>
      <w:color w:val="000000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F71CD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Default">
    <w:name w:val="Default"/>
    <w:rsid w:val="00CF7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4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 Znak Znak Znak Znak"/>
    <w:basedOn w:val="Normalny"/>
    <w:rsid w:val="0000464F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F71CD"/>
    <w:pPr>
      <w:widowControl w:val="0"/>
      <w:suppressAutoHyphens/>
      <w:spacing w:after="283"/>
    </w:pPr>
    <w:rPr>
      <w:rFonts w:ascii="Times New Roman" w:hAnsi="Times New Roman" w:cs="Times New Roman"/>
      <w:color w:val="000000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F71CD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Default">
    <w:name w:val="Default"/>
    <w:rsid w:val="00CF7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1597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cp:lastPrinted>2014-10-23T08:33:00Z</cp:lastPrinted>
  <dcterms:created xsi:type="dcterms:W3CDTF">2014-10-23T07:28:00Z</dcterms:created>
  <dcterms:modified xsi:type="dcterms:W3CDTF">2014-10-23T10:31:00Z</dcterms:modified>
</cp:coreProperties>
</file>